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4F" w:rsidRPr="00DD4596" w:rsidRDefault="00D2124F" w:rsidP="00D2124F">
      <w:pPr>
        <w:pStyle w:val="a5"/>
        <w:spacing w:line="360" w:lineRule="auto"/>
        <w:rPr>
          <w:i/>
          <w:szCs w:val="28"/>
        </w:rPr>
      </w:pPr>
    </w:p>
    <w:tbl>
      <w:tblPr>
        <w:tblpPr w:leftFromText="180" w:rightFromText="180" w:vertAnchor="text" w:horzAnchor="page" w:tblpX="4161" w:tblpY="-50"/>
        <w:tblW w:w="7126" w:type="dxa"/>
        <w:tblBorders>
          <w:bottom w:val="single" w:sz="4" w:space="0" w:color="auto"/>
        </w:tblBorders>
        <w:tblLook w:val="01E0" w:firstRow="1" w:lastRow="1" w:firstColumn="1" w:lastColumn="1" w:noHBand="0" w:noVBand="0"/>
      </w:tblPr>
      <w:tblGrid>
        <w:gridCol w:w="7126"/>
      </w:tblGrid>
      <w:tr w:rsidR="00D2124F" w:rsidRPr="004B7BD4" w:rsidTr="00E04F1B">
        <w:trPr>
          <w:trHeight w:val="1153"/>
        </w:trPr>
        <w:tc>
          <w:tcPr>
            <w:tcW w:w="7126" w:type="dxa"/>
            <w:shd w:val="clear" w:color="auto" w:fill="auto"/>
          </w:tcPr>
          <w:p w:rsidR="00D2124F" w:rsidRPr="00B53177" w:rsidRDefault="00D2124F" w:rsidP="00E04F1B">
            <w:pPr>
              <w:rPr>
                <w:b/>
                <w:sz w:val="26"/>
                <w:szCs w:val="26"/>
              </w:rPr>
            </w:pPr>
            <w:r w:rsidRPr="00B53177">
              <w:rPr>
                <w:b/>
                <w:sz w:val="26"/>
                <w:szCs w:val="26"/>
              </w:rPr>
              <w:t>Общество с ограниченной ответственностью «Партнер»</w:t>
            </w:r>
          </w:p>
          <w:p w:rsidR="00D2124F" w:rsidRPr="006B12BA" w:rsidRDefault="00D2124F" w:rsidP="00E04F1B">
            <w:pPr>
              <w:rPr>
                <w:sz w:val="18"/>
                <w:szCs w:val="18"/>
              </w:rPr>
            </w:pPr>
            <w:r w:rsidRPr="006B12BA">
              <w:rPr>
                <w:sz w:val="18"/>
                <w:szCs w:val="18"/>
              </w:rPr>
              <w:t>Юр. и почт.адрес: 450103, РФ, РБ, г. Уфа, ул.Некрасова, д. 40.</w:t>
            </w:r>
          </w:p>
          <w:p w:rsidR="00D2124F" w:rsidRPr="006B12BA" w:rsidRDefault="00D2124F" w:rsidP="00E04F1B">
            <w:pPr>
              <w:rPr>
                <w:sz w:val="18"/>
                <w:szCs w:val="18"/>
              </w:rPr>
            </w:pPr>
            <w:r w:rsidRPr="006B12BA">
              <w:rPr>
                <w:sz w:val="18"/>
                <w:szCs w:val="18"/>
              </w:rPr>
              <w:t>Реквизиты: ИНН 0274136370, ОГРН 1090280003626,</w:t>
            </w:r>
          </w:p>
          <w:p w:rsidR="00D2124F" w:rsidRPr="006B12BA" w:rsidRDefault="00D2124F" w:rsidP="00E04F1B">
            <w:pPr>
              <w:rPr>
                <w:sz w:val="18"/>
                <w:szCs w:val="18"/>
              </w:rPr>
            </w:pPr>
            <w:r w:rsidRPr="006B12BA">
              <w:rPr>
                <w:sz w:val="18"/>
                <w:szCs w:val="18"/>
              </w:rPr>
              <w:t>Телефон/факс: (347) 236-65-38, 236-05-34</w:t>
            </w:r>
          </w:p>
          <w:p w:rsidR="0050133D" w:rsidRDefault="00D2124F" w:rsidP="00E04F1B">
            <w:pPr>
              <w:rPr>
                <w:sz w:val="18"/>
                <w:szCs w:val="18"/>
              </w:rPr>
            </w:pPr>
            <w:r w:rsidRPr="006B12BA">
              <w:rPr>
                <w:sz w:val="18"/>
                <w:szCs w:val="18"/>
              </w:rPr>
              <w:t xml:space="preserve">Эл.почта: </w:t>
            </w:r>
            <w:hyperlink r:id="rId7" w:history="1">
              <w:r w:rsidRPr="006B12BA">
                <w:rPr>
                  <w:rStyle w:val="a3"/>
                  <w:sz w:val="18"/>
                  <w:szCs w:val="18"/>
                </w:rPr>
                <w:t>stkufa@mail.ru</w:t>
              </w:r>
            </w:hyperlink>
            <w:r>
              <w:rPr>
                <w:rStyle w:val="a3"/>
                <w:sz w:val="18"/>
                <w:szCs w:val="18"/>
              </w:rPr>
              <w:t xml:space="preserve"> </w:t>
            </w:r>
            <w:r w:rsidRPr="006B12BA">
              <w:rPr>
                <w:sz w:val="18"/>
                <w:szCs w:val="18"/>
              </w:rPr>
              <w:t xml:space="preserve"> </w:t>
            </w:r>
            <w:r>
              <w:rPr>
                <w:sz w:val="18"/>
                <w:szCs w:val="18"/>
              </w:rPr>
              <w:t>unionufa@mail.</w:t>
            </w:r>
            <w:r>
              <w:rPr>
                <w:sz w:val="18"/>
                <w:szCs w:val="18"/>
                <w:lang w:val="en-US"/>
              </w:rPr>
              <w:t>ru</w:t>
            </w:r>
            <w:r w:rsidRPr="006B12BA">
              <w:rPr>
                <w:sz w:val="18"/>
                <w:szCs w:val="18"/>
              </w:rPr>
              <w:t xml:space="preserve">         </w:t>
            </w:r>
          </w:p>
          <w:p w:rsidR="00D2124F" w:rsidRPr="00EF0267" w:rsidRDefault="0050133D" w:rsidP="00E04F1B">
            <w:pPr>
              <w:rPr>
                <w:rFonts w:ascii="Leelawadee UI Semilight" w:hAnsi="Leelawadee UI Semilight" w:cs="Leelawadee UI Semilight"/>
                <w:sz w:val="18"/>
              </w:rPr>
            </w:pPr>
            <w:r>
              <w:rPr>
                <w:sz w:val="18"/>
                <w:szCs w:val="18"/>
              </w:rPr>
              <w:t>Сайты</w:t>
            </w:r>
            <w:r w:rsidRPr="004B7BD4">
              <w:rPr>
                <w:sz w:val="18"/>
                <w:szCs w:val="18"/>
              </w:rPr>
              <w:t>:</w:t>
            </w:r>
            <w:r w:rsidR="00D2124F" w:rsidRPr="004B7BD4">
              <w:rPr>
                <w:sz w:val="18"/>
                <w:szCs w:val="18"/>
              </w:rPr>
              <w:t xml:space="preserve"> </w:t>
            </w:r>
            <w:hyperlink r:id="rId8" w:history="1">
              <w:r w:rsidRPr="005254C7">
                <w:rPr>
                  <w:rStyle w:val="a3"/>
                  <w:sz w:val="18"/>
                  <w:szCs w:val="18"/>
                  <w:lang w:val="en-US"/>
                </w:rPr>
                <w:t>www</w:t>
              </w:r>
              <w:r w:rsidRPr="004B7BD4">
                <w:rPr>
                  <w:rStyle w:val="a3"/>
                  <w:sz w:val="18"/>
                  <w:szCs w:val="18"/>
                </w:rPr>
                <w:t>.</w:t>
              </w:r>
              <w:r w:rsidRPr="005254C7">
                <w:rPr>
                  <w:rStyle w:val="a3"/>
                  <w:sz w:val="18"/>
                  <w:szCs w:val="18"/>
                  <w:lang w:val="en-US"/>
                </w:rPr>
                <w:t>partnerufa</w:t>
              </w:r>
              <w:r w:rsidRPr="004B7BD4">
                <w:rPr>
                  <w:rStyle w:val="a3"/>
                  <w:sz w:val="18"/>
                  <w:szCs w:val="18"/>
                </w:rPr>
                <w:t>.</w:t>
              </w:r>
              <w:r w:rsidRPr="005254C7">
                <w:rPr>
                  <w:rStyle w:val="a3"/>
                  <w:sz w:val="18"/>
                  <w:szCs w:val="18"/>
                  <w:lang w:val="en-US"/>
                </w:rPr>
                <w:t>ru</w:t>
              </w:r>
            </w:hyperlink>
            <w:r w:rsidR="00EF0267" w:rsidRPr="00EF0267">
              <w:rPr>
                <w:rStyle w:val="a3"/>
                <w:sz w:val="18"/>
                <w:szCs w:val="18"/>
              </w:rPr>
              <w:t xml:space="preserve">     </w:t>
            </w:r>
            <w:r w:rsidRPr="004B7BD4">
              <w:rPr>
                <w:sz w:val="18"/>
                <w:szCs w:val="18"/>
              </w:rPr>
              <w:t xml:space="preserve"> </w:t>
            </w:r>
            <w:hyperlink r:id="rId9" w:history="1">
              <w:r w:rsidRPr="004B7BD4">
                <w:rPr>
                  <w:rStyle w:val="a3"/>
                  <w:sz w:val="18"/>
                  <w:szCs w:val="18"/>
                  <w:lang w:val="en-US"/>
                </w:rPr>
                <w:t>www</w:t>
              </w:r>
              <w:r w:rsidRPr="004B7BD4">
                <w:rPr>
                  <w:rStyle w:val="a3"/>
                  <w:sz w:val="18"/>
                  <w:szCs w:val="18"/>
                </w:rPr>
                <w:t>.</w:t>
              </w:r>
              <w:r w:rsidRPr="005254C7">
                <w:rPr>
                  <w:rStyle w:val="a3"/>
                  <w:sz w:val="18"/>
                  <w:szCs w:val="18"/>
                  <w:lang w:val="en-US"/>
                </w:rPr>
                <w:t>zilmetufa</w:t>
              </w:r>
              <w:r w:rsidRPr="004B7BD4">
                <w:rPr>
                  <w:rStyle w:val="a3"/>
                  <w:sz w:val="18"/>
                  <w:szCs w:val="18"/>
                </w:rPr>
                <w:t>.</w:t>
              </w:r>
              <w:r w:rsidRPr="005254C7">
                <w:rPr>
                  <w:rStyle w:val="a3"/>
                  <w:sz w:val="18"/>
                  <w:szCs w:val="18"/>
                  <w:lang w:val="en-US"/>
                </w:rPr>
                <w:t>ru</w:t>
              </w:r>
            </w:hyperlink>
            <w:r w:rsidR="00EF0267" w:rsidRPr="00EF0267">
              <w:rPr>
                <w:rStyle w:val="a3"/>
                <w:sz w:val="18"/>
                <w:szCs w:val="18"/>
              </w:rPr>
              <w:t xml:space="preserve">    </w:t>
            </w:r>
            <w:r w:rsidRPr="004B7BD4">
              <w:rPr>
                <w:sz w:val="18"/>
                <w:szCs w:val="18"/>
              </w:rPr>
              <w:t xml:space="preserve">  </w:t>
            </w:r>
            <w:hyperlink r:id="rId10" w:history="1">
              <w:r w:rsidR="008956AF" w:rsidRPr="00215CFE">
                <w:rPr>
                  <w:rStyle w:val="a3"/>
                  <w:sz w:val="18"/>
                  <w:szCs w:val="18"/>
                  <w:lang w:val="en-US"/>
                </w:rPr>
                <w:t>www</w:t>
              </w:r>
              <w:r w:rsidR="008956AF" w:rsidRPr="004B7BD4">
                <w:rPr>
                  <w:rStyle w:val="a3"/>
                  <w:sz w:val="18"/>
                  <w:szCs w:val="18"/>
                </w:rPr>
                <w:t>.</w:t>
              </w:r>
              <w:r w:rsidR="008956AF" w:rsidRPr="00215CFE">
                <w:rPr>
                  <w:rStyle w:val="a3"/>
                  <w:sz w:val="18"/>
                  <w:szCs w:val="18"/>
                  <w:lang w:val="en-US"/>
                </w:rPr>
                <w:t>dabufa</w:t>
              </w:r>
              <w:r w:rsidR="008956AF" w:rsidRPr="004B7BD4">
                <w:rPr>
                  <w:rStyle w:val="a3"/>
                  <w:sz w:val="18"/>
                  <w:szCs w:val="18"/>
                </w:rPr>
                <w:t>.</w:t>
              </w:r>
              <w:r w:rsidR="008956AF" w:rsidRPr="00215CFE">
                <w:rPr>
                  <w:rStyle w:val="a3"/>
                  <w:sz w:val="18"/>
                  <w:szCs w:val="18"/>
                  <w:lang w:val="en-US"/>
                </w:rPr>
                <w:t>ru</w:t>
              </w:r>
            </w:hyperlink>
            <w:r w:rsidR="00EF0267" w:rsidRPr="00EF0267">
              <w:rPr>
                <w:rStyle w:val="a3"/>
                <w:sz w:val="18"/>
                <w:szCs w:val="18"/>
              </w:rPr>
              <w:t xml:space="preserve">       </w:t>
            </w:r>
            <w:r w:rsidR="008956AF" w:rsidRPr="004B7BD4">
              <w:rPr>
                <w:sz w:val="18"/>
                <w:szCs w:val="18"/>
              </w:rPr>
              <w:t xml:space="preserve"> </w:t>
            </w:r>
            <w:hyperlink r:id="rId11" w:history="1">
              <w:r w:rsidR="00EF0267" w:rsidRPr="001D36B0">
                <w:rPr>
                  <w:rStyle w:val="a3"/>
                  <w:sz w:val="18"/>
                  <w:szCs w:val="18"/>
                  <w:lang w:val="en-US"/>
                </w:rPr>
                <w:t>www</w:t>
              </w:r>
              <w:r w:rsidR="00EF0267" w:rsidRPr="001D36B0">
                <w:rPr>
                  <w:rStyle w:val="a3"/>
                  <w:sz w:val="18"/>
                  <w:szCs w:val="18"/>
                </w:rPr>
                <w:t>.</w:t>
              </w:r>
              <w:r w:rsidR="00EF0267" w:rsidRPr="001D36B0">
                <w:rPr>
                  <w:rStyle w:val="a3"/>
                  <w:sz w:val="18"/>
                  <w:szCs w:val="18"/>
                  <w:lang w:val="en-US"/>
                </w:rPr>
                <w:t>termoblokufa</w:t>
              </w:r>
              <w:r w:rsidR="00EF0267" w:rsidRPr="001D36B0">
                <w:rPr>
                  <w:rStyle w:val="a3"/>
                  <w:sz w:val="18"/>
                  <w:szCs w:val="18"/>
                </w:rPr>
                <w:t>.</w:t>
              </w:r>
              <w:r w:rsidR="00EF0267" w:rsidRPr="001D36B0">
                <w:rPr>
                  <w:rStyle w:val="a3"/>
                  <w:sz w:val="18"/>
                  <w:szCs w:val="18"/>
                  <w:lang w:val="en-US"/>
                </w:rPr>
                <w:t>ru</w:t>
              </w:r>
            </w:hyperlink>
            <w:r w:rsidR="00EF0267" w:rsidRPr="00EF0267">
              <w:rPr>
                <w:sz w:val="18"/>
                <w:szCs w:val="18"/>
              </w:rPr>
              <w:t xml:space="preserve"> </w:t>
            </w:r>
          </w:p>
        </w:tc>
      </w:tr>
    </w:tbl>
    <w:p w:rsidR="00013DB3" w:rsidRDefault="0050133D" w:rsidP="000A64C4">
      <w:pPr>
        <w:jc w:val="center"/>
      </w:pPr>
      <w:r>
        <w:rPr>
          <w:rFonts w:asciiTheme="minorHAnsi" w:hAnsiTheme="minorHAnsi"/>
          <w:noProof/>
          <w:sz w:val="24"/>
        </w:rPr>
        <w:drawing>
          <wp:inline distT="0" distB="0" distL="0" distR="0" wp14:anchorId="23013126" wp14:editId="7FC74D7A">
            <wp:extent cx="1368491" cy="762000"/>
            <wp:effectExtent l="0" t="0" r="3175" b="0"/>
            <wp:docPr id="1" name="Рисунок 1" descr="\\PARTNERSERVER\Obmen\логотипы\logo_big_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ERVER\Obmen\логотипы\logo_big_partn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3953" cy="765041"/>
                    </a:xfrm>
                    <a:prstGeom prst="rect">
                      <a:avLst/>
                    </a:prstGeom>
                    <a:noFill/>
                    <a:ln>
                      <a:noFill/>
                    </a:ln>
                  </pic:spPr>
                </pic:pic>
              </a:graphicData>
            </a:graphic>
          </wp:inline>
        </w:drawing>
      </w:r>
    </w:p>
    <w:p w:rsidR="008C216F" w:rsidRDefault="008C216F" w:rsidP="000A64C4">
      <w:pPr>
        <w:jc w:val="center"/>
      </w:pPr>
    </w:p>
    <w:p w:rsidR="00CF0F09" w:rsidRDefault="00CF0F09" w:rsidP="00CF0F09">
      <w:pPr>
        <w:keepNext/>
        <w:keepLines/>
        <w:widowControl w:val="0"/>
        <w:spacing w:after="41" w:line="400" w:lineRule="exact"/>
        <w:jc w:val="center"/>
        <w:outlineLvl w:val="0"/>
        <w:rPr>
          <w:rFonts w:ascii="Arial Narrow" w:eastAsia="Arial" w:hAnsi="Arial Narrow" w:cs="Arial"/>
          <w:b/>
          <w:bCs/>
          <w:sz w:val="24"/>
          <w:szCs w:val="24"/>
          <w:lang w:bidi="ru-RU"/>
        </w:rPr>
      </w:pPr>
    </w:p>
    <w:p w:rsidR="00CF0F09" w:rsidRPr="00CF0F09" w:rsidRDefault="00CF0F09" w:rsidP="00CF0F09">
      <w:pPr>
        <w:keepNext/>
        <w:keepLines/>
        <w:widowControl w:val="0"/>
        <w:spacing w:after="41" w:line="400" w:lineRule="exact"/>
        <w:jc w:val="center"/>
        <w:outlineLvl w:val="0"/>
        <w:rPr>
          <w:rFonts w:ascii="Arial Narrow" w:eastAsia="Arial" w:hAnsi="Arial Narrow" w:cs="Arial"/>
          <w:b/>
          <w:bCs/>
          <w:i/>
          <w:sz w:val="28"/>
          <w:szCs w:val="28"/>
          <w:lang w:bidi="ru-RU"/>
        </w:rPr>
      </w:pPr>
      <w:r w:rsidRPr="00CF0F09">
        <w:rPr>
          <w:rFonts w:ascii="Arial Narrow" w:eastAsia="Arial" w:hAnsi="Arial Narrow" w:cs="Arial"/>
          <w:b/>
          <w:bCs/>
          <w:i/>
          <w:sz w:val="28"/>
          <w:szCs w:val="28"/>
          <w:lang w:bidi="ru-RU"/>
        </w:rPr>
        <w:t>КОМ</w:t>
      </w:r>
      <w:r w:rsidRPr="00CF0F09">
        <w:rPr>
          <w:rFonts w:ascii="Arial Narrow" w:eastAsia="Arial" w:hAnsi="Arial Narrow" w:cs="Arial"/>
          <w:b/>
          <w:bCs/>
          <w:i/>
          <w:sz w:val="28"/>
          <w:szCs w:val="28"/>
          <w:lang w:val="en-US" w:bidi="ru-RU"/>
        </w:rPr>
        <w:t>M</w:t>
      </w:r>
      <w:r w:rsidRPr="00CF0F09">
        <w:rPr>
          <w:rFonts w:ascii="Arial Narrow" w:eastAsia="Arial" w:hAnsi="Arial Narrow" w:cs="Arial"/>
          <w:b/>
          <w:bCs/>
          <w:i/>
          <w:sz w:val="28"/>
          <w:szCs w:val="28"/>
          <w:lang w:bidi="ru-RU"/>
        </w:rPr>
        <w:t>ЕРЧЕСКОЕ ПРЕДЛОЖЕНИЕ</w:t>
      </w:r>
    </w:p>
    <w:p w:rsidR="00CF0F09" w:rsidRPr="00CF0F09" w:rsidRDefault="00CF0F09" w:rsidP="00CF0F09">
      <w:pPr>
        <w:shd w:val="clear" w:color="auto" w:fill="FFFFFF"/>
        <w:spacing w:after="135" w:line="384" w:lineRule="atLeast"/>
        <w:ind w:left="-142" w:right="425"/>
        <w:jc w:val="both"/>
        <w:rPr>
          <w:rFonts w:ascii="Arial Narrow" w:hAnsi="Arial Narrow" w:cs="Helvetica"/>
          <w:i/>
          <w:color w:val="333333"/>
          <w:sz w:val="24"/>
          <w:szCs w:val="24"/>
        </w:rPr>
      </w:pPr>
      <w:r w:rsidRPr="00CF0F09">
        <w:rPr>
          <w:rFonts w:ascii="Arial Narrow" w:hAnsi="Arial Narrow" w:cs="Helvetica"/>
          <w:b/>
          <w:i/>
          <w:color w:val="333333"/>
          <w:sz w:val="24"/>
          <w:szCs w:val="24"/>
        </w:rPr>
        <w:t xml:space="preserve">           Компания «Партнер» </w:t>
      </w:r>
      <w:r w:rsidRPr="00CF0F09">
        <w:rPr>
          <w:rFonts w:ascii="Arial Narrow" w:hAnsi="Arial Narrow" w:cs="Helvetica"/>
          <w:i/>
          <w:color w:val="333333"/>
          <w:sz w:val="24"/>
          <w:szCs w:val="24"/>
        </w:rPr>
        <w:t xml:space="preserve">- является официальным дилером по продаже и обслуживанию теплообменников </w:t>
      </w:r>
      <w:r>
        <w:rPr>
          <w:rFonts w:ascii="Arial Narrow" w:hAnsi="Arial Narrow" w:cs="Helvetica"/>
          <w:i/>
          <w:color w:val="333333"/>
          <w:sz w:val="24"/>
          <w:szCs w:val="24"/>
        </w:rPr>
        <w:t>«</w:t>
      </w:r>
      <w:r w:rsidRPr="00CF0F09">
        <w:rPr>
          <w:rFonts w:ascii="Arial Narrow" w:hAnsi="Arial Narrow" w:cs="Helvetica"/>
          <w:i/>
          <w:color w:val="333333"/>
          <w:sz w:val="24"/>
          <w:szCs w:val="24"/>
        </w:rPr>
        <w:t>Теплохит</w:t>
      </w:r>
      <w:r>
        <w:rPr>
          <w:rFonts w:ascii="Arial Narrow" w:hAnsi="Arial Narrow" w:cs="Helvetica"/>
          <w:i/>
          <w:color w:val="333333"/>
          <w:sz w:val="24"/>
          <w:szCs w:val="24"/>
        </w:rPr>
        <w:t xml:space="preserve">» </w:t>
      </w:r>
      <w:r w:rsidRPr="00CF0F09">
        <w:rPr>
          <w:rFonts w:ascii="Arial Narrow" w:hAnsi="Arial Narrow" w:cs="Helvetica"/>
          <w:i/>
          <w:color w:val="333333"/>
          <w:sz w:val="24"/>
          <w:szCs w:val="24"/>
        </w:rPr>
        <w:t>в Республике Башкортостан.</w:t>
      </w:r>
    </w:p>
    <w:p w:rsidR="00CF0F09" w:rsidRPr="00CF0F09" w:rsidRDefault="00CF0F09" w:rsidP="00CF0F09">
      <w:pPr>
        <w:spacing w:after="135" w:line="384" w:lineRule="atLeast"/>
        <w:ind w:left="-142"/>
        <w:jc w:val="both"/>
        <w:rPr>
          <w:rFonts w:ascii="Arial Narrow" w:hAnsi="Arial Narrow" w:cs="Helvetica"/>
          <w:color w:val="333333"/>
          <w:sz w:val="24"/>
          <w:szCs w:val="24"/>
        </w:rPr>
      </w:pPr>
      <w:r w:rsidRPr="00CF0F09">
        <w:rPr>
          <w:rFonts w:ascii="Arial Narrow" w:hAnsi="Arial Narrow" w:cs="Helvetica"/>
          <w:color w:val="333333"/>
          <w:sz w:val="24"/>
          <w:szCs w:val="24"/>
        </w:rPr>
        <w:t xml:space="preserve">           Компания ООО «Партнер» предлагает купить разборные пластинчатые теплообменники российского производства бренда «Теплохит» по выгодным ценам завода-изготовителя. Производство пластинчатых </w:t>
      </w:r>
      <w:bookmarkStart w:id="0" w:name="_GoBack"/>
      <w:bookmarkEnd w:id="0"/>
      <w:r w:rsidRPr="00CF0F09">
        <w:rPr>
          <w:rFonts w:ascii="Arial Narrow" w:hAnsi="Arial Narrow" w:cs="Helvetica"/>
          <w:color w:val="333333"/>
          <w:sz w:val="24"/>
          <w:szCs w:val="24"/>
        </w:rPr>
        <w:t>теплообменников выполняется на современном точном оборудовании, которое обслуживает квалифицированный персонал инженеров. Все это позволяет изготовить разборный пластинчатый теплообменник любого типа марки согласно современным требованиям качества, который используется для котла отопления, горячего водоснабжения и системы отопления, а также в производственных технологических процессах.</w:t>
      </w:r>
    </w:p>
    <w:p w:rsidR="00CF0F09" w:rsidRPr="00CF0F09" w:rsidRDefault="00CF0F09" w:rsidP="00CF0F09">
      <w:pPr>
        <w:shd w:val="clear" w:color="auto" w:fill="FFFFFF"/>
        <w:spacing w:after="135" w:line="384" w:lineRule="atLeast"/>
        <w:ind w:left="-142" w:firstLine="862"/>
        <w:jc w:val="both"/>
        <w:rPr>
          <w:rFonts w:ascii="Arial Narrow" w:hAnsi="Arial Narrow" w:cs="Helvetica"/>
          <w:color w:val="333333"/>
          <w:sz w:val="24"/>
          <w:szCs w:val="24"/>
        </w:rPr>
      </w:pPr>
      <w:r w:rsidRPr="00CF0F09">
        <w:rPr>
          <w:rFonts w:ascii="Arial Narrow" w:hAnsi="Arial Narrow" w:cs="Helvetica"/>
          <w:color w:val="333333"/>
          <w:sz w:val="24"/>
          <w:szCs w:val="24"/>
        </w:rPr>
        <w:t>Разборные пластинчатые теплообменники марки «Теплохит» подразделяются на: водоводяные; теплообменники ГВС; теплообменники вода-вода; двухходовой пластинчатый теплообменник; теплообменник пластинчатый пар вода (паровые).</w:t>
      </w:r>
    </w:p>
    <w:p w:rsidR="00CF0F09" w:rsidRPr="00CF0F09" w:rsidRDefault="00CF0F09" w:rsidP="00CF0F09">
      <w:pPr>
        <w:shd w:val="clear" w:color="auto" w:fill="FFFFFF"/>
        <w:spacing w:after="135" w:line="384" w:lineRule="atLeast"/>
        <w:ind w:left="-142"/>
        <w:jc w:val="both"/>
        <w:rPr>
          <w:rFonts w:ascii="Arial Narrow" w:hAnsi="Arial Narrow" w:cs="Helvetica"/>
          <w:color w:val="333333"/>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7293"/>
      </w:tblGrid>
      <w:tr w:rsidR="00CF0F09" w:rsidRPr="00CF0F09" w:rsidTr="00CF0F09">
        <w:trPr>
          <w:trHeight w:val="1932"/>
        </w:trPr>
        <w:tc>
          <w:tcPr>
            <w:tcW w:w="2852" w:type="dxa"/>
          </w:tcPr>
          <w:p w:rsidR="00CF0F09" w:rsidRPr="00CF0F09" w:rsidRDefault="00CF0F09" w:rsidP="00E011E8">
            <w:pPr>
              <w:spacing w:line="338" w:lineRule="atLeast"/>
              <w:textAlignment w:val="baseline"/>
              <w:rPr>
                <w:rFonts w:ascii="Arial Narrow" w:hAnsi="Arial Narrow" w:cs="Arial"/>
                <w:i/>
                <w:iCs/>
                <w:color w:val="BBBBBB"/>
                <w:sz w:val="24"/>
                <w:szCs w:val="24"/>
                <w:bdr w:val="none" w:sz="0" w:space="0" w:color="auto" w:frame="1"/>
              </w:rPr>
            </w:pPr>
            <w:r w:rsidRPr="00CF0F09">
              <w:rPr>
                <w:rFonts w:ascii="Arial Narrow" w:hAnsi="Arial Narrow"/>
                <w:noProof/>
                <w:sz w:val="24"/>
                <w:szCs w:val="24"/>
              </w:rPr>
              <w:drawing>
                <wp:inline distT="0" distB="0" distL="0" distR="0" wp14:anchorId="78B799B5" wp14:editId="3690B016">
                  <wp:extent cx="1085850" cy="1495847"/>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97477" cy="1511864"/>
                          </a:xfrm>
                          <a:prstGeom prst="rect">
                            <a:avLst/>
                          </a:prstGeom>
                        </pic:spPr>
                      </pic:pic>
                    </a:graphicData>
                  </a:graphic>
                </wp:inline>
              </w:drawing>
            </w:r>
          </w:p>
        </w:tc>
        <w:tc>
          <w:tcPr>
            <w:tcW w:w="7293" w:type="dxa"/>
          </w:tcPr>
          <w:p w:rsidR="00CF0F09" w:rsidRPr="00CF0F09" w:rsidRDefault="00CF0F09" w:rsidP="00E011E8">
            <w:pPr>
              <w:spacing w:line="338" w:lineRule="atLeast"/>
              <w:jc w:val="both"/>
              <w:textAlignment w:val="baseline"/>
              <w:rPr>
                <w:rFonts w:ascii="Arial Narrow" w:hAnsi="Arial Narrow" w:cs="Arial"/>
                <w:i/>
                <w:iCs/>
                <w:color w:val="BBBBBB"/>
                <w:sz w:val="24"/>
                <w:szCs w:val="24"/>
                <w:bdr w:val="none" w:sz="0" w:space="0" w:color="auto" w:frame="1"/>
              </w:rPr>
            </w:pPr>
            <w:r w:rsidRPr="00CF0F09">
              <w:rPr>
                <w:rFonts w:ascii="Arial Narrow" w:hAnsi="Arial Narrow" w:cs="Helvetica"/>
                <w:i/>
                <w:color w:val="333333"/>
                <w:sz w:val="24"/>
                <w:szCs w:val="24"/>
              </w:rPr>
              <w:t>Основное преимущество пластинчатых теплообменников – их непревзойденная компактность (минимальная площадь при монтаже, затраты на ремонт и обслуживание меньше в 5-20 раз). Пластинчатые теплообменники имеют высокую эффективность и низкие потери при теплопередаче. теплообменники имеют высокую эффективность и низкие потери при теплопередаче</w:t>
            </w:r>
          </w:p>
        </w:tc>
      </w:tr>
    </w:tbl>
    <w:p w:rsidR="00CF0F09" w:rsidRPr="00CF0F09" w:rsidRDefault="00CF0F09" w:rsidP="000A64C4">
      <w:pPr>
        <w:jc w:val="center"/>
        <w:rPr>
          <w:rFonts w:ascii="Arial Narrow" w:hAnsi="Arial Narrow"/>
          <w:sz w:val="24"/>
          <w:szCs w:val="24"/>
        </w:rPr>
      </w:pPr>
    </w:p>
    <w:p w:rsidR="00CF0F09" w:rsidRPr="00CF0F09" w:rsidRDefault="00CF0F09" w:rsidP="00CF0F09">
      <w:pPr>
        <w:jc w:val="center"/>
        <w:rPr>
          <w:rFonts w:ascii="Arial Narrow" w:hAnsi="Arial Narrow"/>
          <w:b/>
          <w:i/>
          <w:sz w:val="24"/>
          <w:szCs w:val="24"/>
        </w:rPr>
      </w:pPr>
      <w:r w:rsidRPr="00CF0F09">
        <w:rPr>
          <w:rFonts w:ascii="Arial Narrow" w:hAnsi="Arial Narrow"/>
          <w:b/>
          <w:i/>
          <w:sz w:val="24"/>
          <w:szCs w:val="24"/>
        </w:rPr>
        <w:t>ПРЕИМУЩЕСТВА ТЕПЛООБМЕННИКОВ ТЕПЛОХИТ</w:t>
      </w:r>
    </w:p>
    <w:p w:rsidR="00CF0F09" w:rsidRPr="00CF0F09" w:rsidRDefault="00CF0F09" w:rsidP="00CF0F09">
      <w:pPr>
        <w:jc w:val="center"/>
        <w:rPr>
          <w:rFonts w:ascii="Arial Narrow" w:hAnsi="Arial Narrow"/>
          <w:sz w:val="24"/>
          <w:szCs w:val="24"/>
        </w:rPr>
      </w:pP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 xml:space="preserve">Бесплатная </w:t>
      </w:r>
      <w:r w:rsidR="001821A2" w:rsidRPr="00CF0F09">
        <w:rPr>
          <w:rFonts w:ascii="Arial Narrow" w:hAnsi="Arial Narrow"/>
          <w:sz w:val="24"/>
          <w:szCs w:val="24"/>
        </w:rPr>
        <w:t>компоновка</w:t>
      </w:r>
      <w:r w:rsidRPr="00CF0F09">
        <w:rPr>
          <w:rFonts w:ascii="Arial Narrow" w:hAnsi="Arial Narrow"/>
          <w:sz w:val="24"/>
          <w:szCs w:val="24"/>
        </w:rPr>
        <w:t xml:space="preserve"> ответными фланцами</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Направляющие балки из нержавеющей стали</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Удлиненная гайка с повышенным запасом прочности</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Удобный в обслуживании за счет легкого изъятия стяжных шпилек</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Надежность рамы, дробеструйная обработка плит с полимерной покраской</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Эффективные пластины марки Теплохит</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Теплообменники</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от 5 кВт до 20 МВт</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от -20С до 200С</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Давление в теплообменнике до 2,5 МПа</w:t>
      </w:r>
    </w:p>
    <w:p w:rsidR="00CF0F09" w:rsidRPr="00CF0F09" w:rsidRDefault="00CF0F09" w:rsidP="00CF0F09">
      <w:pPr>
        <w:pStyle w:val="ad"/>
        <w:numPr>
          <w:ilvl w:val="0"/>
          <w:numId w:val="36"/>
        </w:numPr>
        <w:rPr>
          <w:rFonts w:ascii="Arial Narrow" w:hAnsi="Arial Narrow"/>
          <w:sz w:val="24"/>
          <w:szCs w:val="24"/>
        </w:rPr>
      </w:pPr>
      <w:r w:rsidRPr="00CF0F09">
        <w:rPr>
          <w:rFonts w:ascii="Arial Narrow" w:hAnsi="Arial Narrow"/>
          <w:sz w:val="24"/>
          <w:szCs w:val="24"/>
        </w:rPr>
        <w:t>Широкий диапазон рабочих сред</w:t>
      </w:r>
    </w:p>
    <w:sectPr w:rsidR="00CF0F09" w:rsidRPr="00CF0F09" w:rsidSect="00CF0F09">
      <w:footerReference w:type="default" r:id="rId14"/>
      <w:pgSz w:w="11906" w:h="16838"/>
      <w:pgMar w:top="0" w:right="566" w:bottom="993" w:left="1134" w:header="720" w:footer="3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40" w:rsidRDefault="00FB4D40" w:rsidP="001106D9">
      <w:r>
        <w:separator/>
      </w:r>
    </w:p>
  </w:endnote>
  <w:endnote w:type="continuationSeparator" w:id="0">
    <w:p w:rsidR="00FB4D40" w:rsidRDefault="00FB4D40" w:rsidP="0011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9" w:rsidRPr="005A247B" w:rsidRDefault="001106D9" w:rsidP="001106D9">
    <w:pPr>
      <w:pStyle w:val="af0"/>
      <w:pBdr>
        <w:top w:val="single" w:sz="4" w:space="1" w:color="auto"/>
      </w:pBdr>
      <w:jc w:val="center"/>
      <w:rPr>
        <w:sz w:val="18"/>
        <w:szCs w:val="18"/>
        <w:lang w:val="en-US"/>
      </w:rPr>
    </w:pPr>
    <w:r>
      <w:rPr>
        <w:sz w:val="18"/>
        <w:szCs w:val="18"/>
      </w:rPr>
      <w:t>Дилер</w:t>
    </w:r>
    <w:r>
      <w:rPr>
        <w:sz w:val="18"/>
        <w:szCs w:val="18"/>
        <w:lang w:val="en-US"/>
      </w:rPr>
      <w:t xml:space="preserve"> DAB, WILO, PRADO,</w:t>
    </w:r>
    <w:r w:rsidR="005A247B">
      <w:rPr>
        <w:sz w:val="18"/>
        <w:szCs w:val="18"/>
      </w:rPr>
      <w:t xml:space="preserve"> АДЛ,</w:t>
    </w:r>
    <w:r>
      <w:rPr>
        <w:sz w:val="18"/>
        <w:szCs w:val="18"/>
        <w:lang w:val="en-US"/>
      </w:rPr>
      <w:t xml:space="preserve"> </w:t>
    </w:r>
    <w:r w:rsidR="005A247B">
      <w:rPr>
        <w:sz w:val="18"/>
        <w:szCs w:val="18"/>
        <w:lang w:val="en-US"/>
      </w:rPr>
      <w:t>SAER</w:t>
    </w:r>
    <w:r>
      <w:rPr>
        <w:sz w:val="18"/>
        <w:szCs w:val="18"/>
        <w:lang w:val="en-US"/>
      </w:rPr>
      <w:t>, FLY</w:t>
    </w:r>
    <w:r w:rsidR="005A247B">
      <w:rPr>
        <w:sz w:val="18"/>
        <w:szCs w:val="18"/>
        <w:lang w:val="en-US"/>
      </w:rPr>
      <w:t>GT, PRO AQUA, POLYKRAFT, DANFOSS</w:t>
    </w:r>
    <w:r>
      <w:rPr>
        <w:sz w:val="18"/>
        <w:szCs w:val="18"/>
        <w:lang w:val="en-US"/>
      </w:rPr>
      <w:t xml:space="preserve">, </w:t>
    </w:r>
    <w:r>
      <w:rPr>
        <w:sz w:val="18"/>
        <w:szCs w:val="18"/>
      </w:rPr>
      <w:t>ТЕПЛОХИТ,</w:t>
    </w:r>
    <w:r>
      <w:rPr>
        <w:sz w:val="18"/>
        <w:szCs w:val="18"/>
        <w:lang w:val="en-US"/>
      </w:rPr>
      <w:t xml:space="preserve"> VERTRO</w:t>
    </w:r>
    <w:r w:rsidR="005A247B">
      <w:rPr>
        <w:sz w:val="18"/>
        <w:szCs w:val="18"/>
      </w:rPr>
      <w:t>, TRA</w:t>
    </w:r>
    <w:r w:rsidR="005A247B">
      <w:rPr>
        <w:sz w:val="18"/>
        <w:szCs w:val="18"/>
        <w:lang w:val="en-US"/>
      </w:rPr>
      <w:t>NE</w:t>
    </w:r>
  </w:p>
  <w:p w:rsidR="001106D9" w:rsidRDefault="001106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40" w:rsidRDefault="00FB4D40" w:rsidP="001106D9">
      <w:r>
        <w:separator/>
      </w:r>
    </w:p>
  </w:footnote>
  <w:footnote w:type="continuationSeparator" w:id="0">
    <w:p w:rsidR="00FB4D40" w:rsidRDefault="00FB4D40" w:rsidP="0011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662"/>
    <w:multiLevelType w:val="hybridMultilevel"/>
    <w:tmpl w:val="6E88B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174612"/>
    <w:multiLevelType w:val="hybridMultilevel"/>
    <w:tmpl w:val="AE6A912C"/>
    <w:lvl w:ilvl="0" w:tplc="0419000D">
      <w:start w:val="1"/>
      <w:numFmt w:val="bullet"/>
      <w:lvlText w:val=""/>
      <w:lvlJc w:val="left"/>
      <w:pPr>
        <w:tabs>
          <w:tab w:val="num" w:pos="1785"/>
        </w:tabs>
        <w:ind w:left="1785" w:hanging="360"/>
      </w:pPr>
      <w:rPr>
        <w:rFonts w:ascii="Wingdings" w:hAnsi="Wingdings"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 w15:restartNumberingAfterBreak="0">
    <w:nsid w:val="09A07BF4"/>
    <w:multiLevelType w:val="hybridMultilevel"/>
    <w:tmpl w:val="38DA673C"/>
    <w:lvl w:ilvl="0" w:tplc="3F46DE5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AF3F48"/>
    <w:multiLevelType w:val="hybridMultilevel"/>
    <w:tmpl w:val="E1CCD6B2"/>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 w15:restartNumberingAfterBreak="0">
    <w:nsid w:val="0D6B6442"/>
    <w:multiLevelType w:val="hybridMultilevel"/>
    <w:tmpl w:val="0AAA69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836168"/>
    <w:multiLevelType w:val="hybridMultilevel"/>
    <w:tmpl w:val="5C50FB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4A0BA8"/>
    <w:multiLevelType w:val="hybridMultilevel"/>
    <w:tmpl w:val="EE4C90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46081"/>
    <w:multiLevelType w:val="hybridMultilevel"/>
    <w:tmpl w:val="B066E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473E7"/>
    <w:multiLevelType w:val="hybridMultilevel"/>
    <w:tmpl w:val="E6AE2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E7380"/>
    <w:multiLevelType w:val="hybridMultilevel"/>
    <w:tmpl w:val="870C64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E23B0E"/>
    <w:multiLevelType w:val="hybridMultilevel"/>
    <w:tmpl w:val="B694CCFE"/>
    <w:lvl w:ilvl="0" w:tplc="27D4721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1FF59A9"/>
    <w:multiLevelType w:val="hybridMultilevel"/>
    <w:tmpl w:val="11E4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A6AF0"/>
    <w:multiLevelType w:val="hybridMultilevel"/>
    <w:tmpl w:val="86C816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7674F9B"/>
    <w:multiLevelType w:val="hybridMultilevel"/>
    <w:tmpl w:val="706A2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4436A"/>
    <w:multiLevelType w:val="hybridMultilevel"/>
    <w:tmpl w:val="DAE2C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6A07A2"/>
    <w:multiLevelType w:val="hybridMultilevel"/>
    <w:tmpl w:val="2A3A5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E69"/>
    <w:multiLevelType w:val="hybridMultilevel"/>
    <w:tmpl w:val="B11E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A34C83"/>
    <w:multiLevelType w:val="hybridMultilevel"/>
    <w:tmpl w:val="0E4AAA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17112A"/>
    <w:multiLevelType w:val="hybridMultilevel"/>
    <w:tmpl w:val="413E51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70F6A8E"/>
    <w:multiLevelType w:val="hybridMultilevel"/>
    <w:tmpl w:val="95F66654"/>
    <w:lvl w:ilvl="0" w:tplc="3CBC8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043C6C"/>
    <w:multiLevelType w:val="hybridMultilevel"/>
    <w:tmpl w:val="7A163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B607F04"/>
    <w:multiLevelType w:val="hybridMultilevel"/>
    <w:tmpl w:val="15A4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F314D7"/>
    <w:multiLevelType w:val="hybridMultilevel"/>
    <w:tmpl w:val="4586B2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0FF26F1"/>
    <w:multiLevelType w:val="hybridMultilevel"/>
    <w:tmpl w:val="51F0FE18"/>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4" w15:restartNumberingAfterBreak="0">
    <w:nsid w:val="43F84127"/>
    <w:multiLevelType w:val="hybridMultilevel"/>
    <w:tmpl w:val="0514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AE3CBA"/>
    <w:multiLevelType w:val="hybridMultilevel"/>
    <w:tmpl w:val="97CC1344"/>
    <w:lvl w:ilvl="0" w:tplc="0FA2F90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15:restartNumberingAfterBreak="0">
    <w:nsid w:val="5E436DEE"/>
    <w:multiLevelType w:val="hybridMultilevel"/>
    <w:tmpl w:val="186E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CF20B1"/>
    <w:multiLevelType w:val="hybridMultilevel"/>
    <w:tmpl w:val="1A5ED1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15D77DE"/>
    <w:multiLevelType w:val="hybridMultilevel"/>
    <w:tmpl w:val="924AB1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4AC75B2"/>
    <w:multiLevelType w:val="hybridMultilevel"/>
    <w:tmpl w:val="229C17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CC80576"/>
    <w:multiLevelType w:val="hybridMultilevel"/>
    <w:tmpl w:val="518609C4"/>
    <w:lvl w:ilvl="0" w:tplc="54444B86">
      <w:start w:val="1"/>
      <w:numFmt w:val="decimal"/>
      <w:lvlText w:val="2.%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4F35A4"/>
    <w:multiLevelType w:val="hybridMultilevel"/>
    <w:tmpl w:val="1F5C6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26A2C55"/>
    <w:multiLevelType w:val="hybridMultilevel"/>
    <w:tmpl w:val="C74C57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8E11886"/>
    <w:multiLevelType w:val="hybridMultilevel"/>
    <w:tmpl w:val="E5AE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34560"/>
    <w:multiLevelType w:val="hybridMultilevel"/>
    <w:tmpl w:val="BB22831C"/>
    <w:lvl w:ilvl="0" w:tplc="8E5E5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FD5B1F"/>
    <w:multiLevelType w:val="singleLevel"/>
    <w:tmpl w:val="12E64052"/>
    <w:lvl w:ilvl="0">
      <w:start w:val="1"/>
      <w:numFmt w:val="decimal"/>
      <w:lvlText w:val="%1."/>
      <w:lvlJc w:val="left"/>
      <w:pPr>
        <w:tabs>
          <w:tab w:val="num" w:pos="360"/>
        </w:tabs>
        <w:ind w:left="360" w:hanging="360"/>
      </w:pPr>
      <w:rPr>
        <w:rFonts w:hint="default"/>
      </w:rPr>
    </w:lvl>
  </w:abstractNum>
  <w:num w:numId="1">
    <w:abstractNumId w:val="35"/>
  </w:num>
  <w:num w:numId="2">
    <w:abstractNumId w:val="8"/>
  </w:num>
  <w:num w:numId="3">
    <w:abstractNumId w:val="32"/>
  </w:num>
  <w:num w:numId="4">
    <w:abstractNumId w:val="28"/>
  </w:num>
  <w:num w:numId="5">
    <w:abstractNumId w:val="18"/>
  </w:num>
  <w:num w:numId="6">
    <w:abstractNumId w:val="1"/>
  </w:num>
  <w:num w:numId="7">
    <w:abstractNumId w:val="30"/>
  </w:num>
  <w:num w:numId="8">
    <w:abstractNumId w:val="4"/>
  </w:num>
  <w:num w:numId="9">
    <w:abstractNumId w:val="10"/>
  </w:num>
  <w:num w:numId="10">
    <w:abstractNumId w:val="11"/>
  </w:num>
  <w:num w:numId="11">
    <w:abstractNumId w:val="2"/>
  </w:num>
  <w:num w:numId="12">
    <w:abstractNumId w:val="25"/>
  </w:num>
  <w:num w:numId="13">
    <w:abstractNumId w:val="27"/>
  </w:num>
  <w:num w:numId="14">
    <w:abstractNumId w:val="19"/>
  </w:num>
  <w:num w:numId="15">
    <w:abstractNumId w:val="34"/>
  </w:num>
  <w:num w:numId="16">
    <w:abstractNumId w:val="5"/>
  </w:num>
  <w:num w:numId="17">
    <w:abstractNumId w:val="16"/>
  </w:num>
  <w:num w:numId="18">
    <w:abstractNumId w:val="23"/>
  </w:num>
  <w:num w:numId="19">
    <w:abstractNumId w:val="3"/>
  </w:num>
  <w:num w:numId="20">
    <w:abstractNumId w:val="6"/>
  </w:num>
  <w:num w:numId="21">
    <w:abstractNumId w:val="21"/>
  </w:num>
  <w:num w:numId="22">
    <w:abstractNumId w:val="14"/>
  </w:num>
  <w:num w:numId="23">
    <w:abstractNumId w:val="24"/>
  </w:num>
  <w:num w:numId="24">
    <w:abstractNumId w:val="22"/>
  </w:num>
  <w:num w:numId="25">
    <w:abstractNumId w:val="13"/>
  </w:num>
  <w:num w:numId="26">
    <w:abstractNumId w:val="0"/>
  </w:num>
  <w:num w:numId="27">
    <w:abstractNumId w:val="33"/>
  </w:num>
  <w:num w:numId="28">
    <w:abstractNumId w:val="12"/>
  </w:num>
  <w:num w:numId="29">
    <w:abstractNumId w:val="15"/>
  </w:num>
  <w:num w:numId="30">
    <w:abstractNumId w:val="7"/>
  </w:num>
  <w:num w:numId="31">
    <w:abstractNumId w:val="17"/>
  </w:num>
  <w:num w:numId="32">
    <w:abstractNumId w:val="31"/>
  </w:num>
  <w:num w:numId="33">
    <w:abstractNumId w:val="29"/>
  </w:num>
  <w:num w:numId="34">
    <w:abstractNumId w:val="9"/>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1A"/>
    <w:rsid w:val="00007166"/>
    <w:rsid w:val="00013DB3"/>
    <w:rsid w:val="00020C5C"/>
    <w:rsid w:val="00025CB2"/>
    <w:rsid w:val="00027B3C"/>
    <w:rsid w:val="00036894"/>
    <w:rsid w:val="00042B86"/>
    <w:rsid w:val="00047A16"/>
    <w:rsid w:val="0005265A"/>
    <w:rsid w:val="000550EC"/>
    <w:rsid w:val="000702EB"/>
    <w:rsid w:val="000716C3"/>
    <w:rsid w:val="000819D2"/>
    <w:rsid w:val="000876AF"/>
    <w:rsid w:val="0009473F"/>
    <w:rsid w:val="00096006"/>
    <w:rsid w:val="000A35F5"/>
    <w:rsid w:val="000A5C54"/>
    <w:rsid w:val="000A64C4"/>
    <w:rsid w:val="000C0224"/>
    <w:rsid w:val="000C3E88"/>
    <w:rsid w:val="000D1C2E"/>
    <w:rsid w:val="00104DCB"/>
    <w:rsid w:val="001106D9"/>
    <w:rsid w:val="001130F1"/>
    <w:rsid w:val="0011600A"/>
    <w:rsid w:val="00116CFC"/>
    <w:rsid w:val="0012162F"/>
    <w:rsid w:val="00123127"/>
    <w:rsid w:val="00133053"/>
    <w:rsid w:val="00134292"/>
    <w:rsid w:val="0013564A"/>
    <w:rsid w:val="00135690"/>
    <w:rsid w:val="00151EB0"/>
    <w:rsid w:val="001607EF"/>
    <w:rsid w:val="001771EC"/>
    <w:rsid w:val="001821A2"/>
    <w:rsid w:val="001A12F1"/>
    <w:rsid w:val="001B2150"/>
    <w:rsid w:val="001C1CA2"/>
    <w:rsid w:val="001C258F"/>
    <w:rsid w:val="001C4B99"/>
    <w:rsid w:val="001D5A51"/>
    <w:rsid w:val="001D76A5"/>
    <w:rsid w:val="001F4BC7"/>
    <w:rsid w:val="00200370"/>
    <w:rsid w:val="0020119B"/>
    <w:rsid w:val="002079EE"/>
    <w:rsid w:val="002201D0"/>
    <w:rsid w:val="0022155E"/>
    <w:rsid w:val="00224E78"/>
    <w:rsid w:val="002272EC"/>
    <w:rsid w:val="00230BFC"/>
    <w:rsid w:val="00232C10"/>
    <w:rsid w:val="00233C73"/>
    <w:rsid w:val="002345F4"/>
    <w:rsid w:val="00235F5F"/>
    <w:rsid w:val="00242872"/>
    <w:rsid w:val="002478E7"/>
    <w:rsid w:val="00257E6E"/>
    <w:rsid w:val="00272023"/>
    <w:rsid w:val="002813CE"/>
    <w:rsid w:val="00284C83"/>
    <w:rsid w:val="002A3ACE"/>
    <w:rsid w:val="002A5303"/>
    <w:rsid w:val="002B436D"/>
    <w:rsid w:val="002B587D"/>
    <w:rsid w:val="002D07A8"/>
    <w:rsid w:val="002D11D8"/>
    <w:rsid w:val="002D44BE"/>
    <w:rsid w:val="002D5A41"/>
    <w:rsid w:val="00300866"/>
    <w:rsid w:val="00305B7F"/>
    <w:rsid w:val="00305DA1"/>
    <w:rsid w:val="003116DB"/>
    <w:rsid w:val="00311EB5"/>
    <w:rsid w:val="00313B29"/>
    <w:rsid w:val="00331502"/>
    <w:rsid w:val="00331966"/>
    <w:rsid w:val="0033239D"/>
    <w:rsid w:val="003339B2"/>
    <w:rsid w:val="00335D5E"/>
    <w:rsid w:val="00336910"/>
    <w:rsid w:val="003423D4"/>
    <w:rsid w:val="0034514B"/>
    <w:rsid w:val="00346003"/>
    <w:rsid w:val="003463C1"/>
    <w:rsid w:val="003512DD"/>
    <w:rsid w:val="00354392"/>
    <w:rsid w:val="003615E1"/>
    <w:rsid w:val="0038004D"/>
    <w:rsid w:val="003818DD"/>
    <w:rsid w:val="0038220A"/>
    <w:rsid w:val="0038462C"/>
    <w:rsid w:val="003868ED"/>
    <w:rsid w:val="00391DE6"/>
    <w:rsid w:val="00397F3B"/>
    <w:rsid w:val="003A12A3"/>
    <w:rsid w:val="003B022B"/>
    <w:rsid w:val="003B5832"/>
    <w:rsid w:val="003B7C14"/>
    <w:rsid w:val="003C7ACB"/>
    <w:rsid w:val="003E1CAC"/>
    <w:rsid w:val="003F3ADE"/>
    <w:rsid w:val="003F6DC5"/>
    <w:rsid w:val="003F7FF3"/>
    <w:rsid w:val="00417EA5"/>
    <w:rsid w:val="0042104F"/>
    <w:rsid w:val="00425E93"/>
    <w:rsid w:val="00433D39"/>
    <w:rsid w:val="0045167F"/>
    <w:rsid w:val="0045498D"/>
    <w:rsid w:val="004572D6"/>
    <w:rsid w:val="00462795"/>
    <w:rsid w:val="00470405"/>
    <w:rsid w:val="0047729E"/>
    <w:rsid w:val="00483BCA"/>
    <w:rsid w:val="00485D8D"/>
    <w:rsid w:val="00486E99"/>
    <w:rsid w:val="004A4955"/>
    <w:rsid w:val="004B7BD4"/>
    <w:rsid w:val="004C025C"/>
    <w:rsid w:val="004C7750"/>
    <w:rsid w:val="004C7FD0"/>
    <w:rsid w:val="004D1FD9"/>
    <w:rsid w:val="004E4196"/>
    <w:rsid w:val="004E6F44"/>
    <w:rsid w:val="0050133D"/>
    <w:rsid w:val="005047B1"/>
    <w:rsid w:val="00506C99"/>
    <w:rsid w:val="00513806"/>
    <w:rsid w:val="00513F54"/>
    <w:rsid w:val="00516251"/>
    <w:rsid w:val="005274E7"/>
    <w:rsid w:val="0053336C"/>
    <w:rsid w:val="0054021C"/>
    <w:rsid w:val="005423EE"/>
    <w:rsid w:val="00544E62"/>
    <w:rsid w:val="00550697"/>
    <w:rsid w:val="00563F3E"/>
    <w:rsid w:val="00570CF4"/>
    <w:rsid w:val="005713E4"/>
    <w:rsid w:val="005821FF"/>
    <w:rsid w:val="00586349"/>
    <w:rsid w:val="005877BD"/>
    <w:rsid w:val="00590030"/>
    <w:rsid w:val="00597C13"/>
    <w:rsid w:val="005A247B"/>
    <w:rsid w:val="005B3D2E"/>
    <w:rsid w:val="005B615C"/>
    <w:rsid w:val="005D1AB8"/>
    <w:rsid w:val="005E54D6"/>
    <w:rsid w:val="0062075D"/>
    <w:rsid w:val="0063216A"/>
    <w:rsid w:val="00640113"/>
    <w:rsid w:val="0065036B"/>
    <w:rsid w:val="00651C60"/>
    <w:rsid w:val="00662382"/>
    <w:rsid w:val="00677368"/>
    <w:rsid w:val="00694CE1"/>
    <w:rsid w:val="00696D93"/>
    <w:rsid w:val="006A21A0"/>
    <w:rsid w:val="006B240C"/>
    <w:rsid w:val="006E4104"/>
    <w:rsid w:val="006F4EA4"/>
    <w:rsid w:val="00701C82"/>
    <w:rsid w:val="0070675A"/>
    <w:rsid w:val="00713CE8"/>
    <w:rsid w:val="00713F03"/>
    <w:rsid w:val="0071478C"/>
    <w:rsid w:val="0072220C"/>
    <w:rsid w:val="00726E71"/>
    <w:rsid w:val="0073381A"/>
    <w:rsid w:val="00737F19"/>
    <w:rsid w:val="00743CDE"/>
    <w:rsid w:val="007611EF"/>
    <w:rsid w:val="007615FF"/>
    <w:rsid w:val="00771A90"/>
    <w:rsid w:val="00780655"/>
    <w:rsid w:val="00790D62"/>
    <w:rsid w:val="00791ADD"/>
    <w:rsid w:val="007A059E"/>
    <w:rsid w:val="007A388E"/>
    <w:rsid w:val="007A6D5C"/>
    <w:rsid w:val="007C5107"/>
    <w:rsid w:val="007C65BC"/>
    <w:rsid w:val="007D0B7F"/>
    <w:rsid w:val="007D1522"/>
    <w:rsid w:val="007E3F70"/>
    <w:rsid w:val="007E5305"/>
    <w:rsid w:val="007E5B3F"/>
    <w:rsid w:val="00804038"/>
    <w:rsid w:val="0081416F"/>
    <w:rsid w:val="008346E8"/>
    <w:rsid w:val="00850977"/>
    <w:rsid w:val="00854C9B"/>
    <w:rsid w:val="00855083"/>
    <w:rsid w:val="008561D1"/>
    <w:rsid w:val="008676D0"/>
    <w:rsid w:val="008956AF"/>
    <w:rsid w:val="00895AEB"/>
    <w:rsid w:val="008A0BF3"/>
    <w:rsid w:val="008B0683"/>
    <w:rsid w:val="008B3F1E"/>
    <w:rsid w:val="008C216F"/>
    <w:rsid w:val="008D47F3"/>
    <w:rsid w:val="008F001E"/>
    <w:rsid w:val="008F1ADE"/>
    <w:rsid w:val="008F3AB8"/>
    <w:rsid w:val="008F6E4F"/>
    <w:rsid w:val="009077F7"/>
    <w:rsid w:val="0091201E"/>
    <w:rsid w:val="00914DB5"/>
    <w:rsid w:val="00923E33"/>
    <w:rsid w:val="0092600B"/>
    <w:rsid w:val="0093043A"/>
    <w:rsid w:val="00932951"/>
    <w:rsid w:val="00947ECA"/>
    <w:rsid w:val="00951C1F"/>
    <w:rsid w:val="00956E7B"/>
    <w:rsid w:val="00957D14"/>
    <w:rsid w:val="00967C6F"/>
    <w:rsid w:val="00973019"/>
    <w:rsid w:val="009752EB"/>
    <w:rsid w:val="00977585"/>
    <w:rsid w:val="00977AFF"/>
    <w:rsid w:val="00980C9C"/>
    <w:rsid w:val="0099011D"/>
    <w:rsid w:val="009A1811"/>
    <w:rsid w:val="009B779F"/>
    <w:rsid w:val="009C15B7"/>
    <w:rsid w:val="009C31AB"/>
    <w:rsid w:val="009D35D6"/>
    <w:rsid w:val="009E626E"/>
    <w:rsid w:val="009F4D27"/>
    <w:rsid w:val="009F53CC"/>
    <w:rsid w:val="009F6505"/>
    <w:rsid w:val="009F76B0"/>
    <w:rsid w:val="00A071B3"/>
    <w:rsid w:val="00A13E64"/>
    <w:rsid w:val="00A41B5D"/>
    <w:rsid w:val="00A46C05"/>
    <w:rsid w:val="00A55B1A"/>
    <w:rsid w:val="00A61D67"/>
    <w:rsid w:val="00A62AF0"/>
    <w:rsid w:val="00A66845"/>
    <w:rsid w:val="00A67397"/>
    <w:rsid w:val="00A6774A"/>
    <w:rsid w:val="00A76B44"/>
    <w:rsid w:val="00A833B2"/>
    <w:rsid w:val="00A834BD"/>
    <w:rsid w:val="00A90966"/>
    <w:rsid w:val="00A90D95"/>
    <w:rsid w:val="00A96429"/>
    <w:rsid w:val="00AC33E6"/>
    <w:rsid w:val="00AC48C9"/>
    <w:rsid w:val="00AC615E"/>
    <w:rsid w:val="00AD5B4C"/>
    <w:rsid w:val="00AD6BD4"/>
    <w:rsid w:val="00AE36E5"/>
    <w:rsid w:val="00AF2511"/>
    <w:rsid w:val="00AF75BF"/>
    <w:rsid w:val="00B04227"/>
    <w:rsid w:val="00B04C11"/>
    <w:rsid w:val="00B26B0B"/>
    <w:rsid w:val="00B30BAB"/>
    <w:rsid w:val="00B3721A"/>
    <w:rsid w:val="00B42EBE"/>
    <w:rsid w:val="00B526E4"/>
    <w:rsid w:val="00B55C9A"/>
    <w:rsid w:val="00B62D90"/>
    <w:rsid w:val="00B720D5"/>
    <w:rsid w:val="00B75823"/>
    <w:rsid w:val="00B914F4"/>
    <w:rsid w:val="00BA5F7F"/>
    <w:rsid w:val="00BA7A2E"/>
    <w:rsid w:val="00BC5AC3"/>
    <w:rsid w:val="00BC667F"/>
    <w:rsid w:val="00BE371A"/>
    <w:rsid w:val="00BF0FC6"/>
    <w:rsid w:val="00C03601"/>
    <w:rsid w:val="00C15FB0"/>
    <w:rsid w:val="00C2297C"/>
    <w:rsid w:val="00C4029A"/>
    <w:rsid w:val="00C55ACD"/>
    <w:rsid w:val="00C572E7"/>
    <w:rsid w:val="00C77C18"/>
    <w:rsid w:val="00C83279"/>
    <w:rsid w:val="00C9396F"/>
    <w:rsid w:val="00C969F1"/>
    <w:rsid w:val="00C97F13"/>
    <w:rsid w:val="00CC1AD2"/>
    <w:rsid w:val="00CC23E0"/>
    <w:rsid w:val="00CC66DB"/>
    <w:rsid w:val="00CF0F09"/>
    <w:rsid w:val="00CF6E9B"/>
    <w:rsid w:val="00D011EE"/>
    <w:rsid w:val="00D0454F"/>
    <w:rsid w:val="00D07416"/>
    <w:rsid w:val="00D1326F"/>
    <w:rsid w:val="00D13279"/>
    <w:rsid w:val="00D1343E"/>
    <w:rsid w:val="00D13D82"/>
    <w:rsid w:val="00D14738"/>
    <w:rsid w:val="00D2124F"/>
    <w:rsid w:val="00D26265"/>
    <w:rsid w:val="00D32C31"/>
    <w:rsid w:val="00D425B8"/>
    <w:rsid w:val="00D434C1"/>
    <w:rsid w:val="00D4368D"/>
    <w:rsid w:val="00D54EA6"/>
    <w:rsid w:val="00DA0022"/>
    <w:rsid w:val="00DC1A79"/>
    <w:rsid w:val="00DC2179"/>
    <w:rsid w:val="00DD4596"/>
    <w:rsid w:val="00DD6AC2"/>
    <w:rsid w:val="00DE4DAF"/>
    <w:rsid w:val="00DE7452"/>
    <w:rsid w:val="00DF09E8"/>
    <w:rsid w:val="00DF79EC"/>
    <w:rsid w:val="00E00BFB"/>
    <w:rsid w:val="00E04F1B"/>
    <w:rsid w:val="00E15298"/>
    <w:rsid w:val="00E27604"/>
    <w:rsid w:val="00E40BD7"/>
    <w:rsid w:val="00E55265"/>
    <w:rsid w:val="00E669EC"/>
    <w:rsid w:val="00E77AFE"/>
    <w:rsid w:val="00E77D1E"/>
    <w:rsid w:val="00E95DB5"/>
    <w:rsid w:val="00EA0EAC"/>
    <w:rsid w:val="00EA1521"/>
    <w:rsid w:val="00EC13A8"/>
    <w:rsid w:val="00EC2A8C"/>
    <w:rsid w:val="00ED13D0"/>
    <w:rsid w:val="00EE04C2"/>
    <w:rsid w:val="00EE2248"/>
    <w:rsid w:val="00EF0267"/>
    <w:rsid w:val="00EF0F09"/>
    <w:rsid w:val="00EF6079"/>
    <w:rsid w:val="00F02DA4"/>
    <w:rsid w:val="00F06659"/>
    <w:rsid w:val="00F0799E"/>
    <w:rsid w:val="00F235D0"/>
    <w:rsid w:val="00F25D52"/>
    <w:rsid w:val="00F302B5"/>
    <w:rsid w:val="00F3048A"/>
    <w:rsid w:val="00F33634"/>
    <w:rsid w:val="00F33B84"/>
    <w:rsid w:val="00F45645"/>
    <w:rsid w:val="00F5247E"/>
    <w:rsid w:val="00F61F48"/>
    <w:rsid w:val="00F62586"/>
    <w:rsid w:val="00F64E7C"/>
    <w:rsid w:val="00F65F1F"/>
    <w:rsid w:val="00F70DC6"/>
    <w:rsid w:val="00F77381"/>
    <w:rsid w:val="00F77B78"/>
    <w:rsid w:val="00F93FCA"/>
    <w:rsid w:val="00F9708C"/>
    <w:rsid w:val="00FA3669"/>
    <w:rsid w:val="00FB4D40"/>
    <w:rsid w:val="00FD41C5"/>
    <w:rsid w:val="00FE2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FDBCF82-A588-4348-8E21-79762278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8DD"/>
  </w:style>
  <w:style w:type="paragraph" w:styleId="1">
    <w:name w:val="heading 1"/>
    <w:basedOn w:val="a"/>
    <w:next w:val="a"/>
    <w:qFormat/>
    <w:rsid w:val="00104DCB"/>
    <w:pPr>
      <w:keepNext/>
      <w:outlineLvl w:val="0"/>
    </w:pPr>
    <w:rPr>
      <w:b/>
      <w:sz w:val="28"/>
    </w:rPr>
  </w:style>
  <w:style w:type="paragraph" w:styleId="2">
    <w:name w:val="heading 2"/>
    <w:basedOn w:val="a"/>
    <w:next w:val="a"/>
    <w:qFormat/>
    <w:rsid w:val="00F33B84"/>
    <w:pPr>
      <w:keepNext/>
      <w:spacing w:before="240" w:after="60"/>
      <w:outlineLvl w:val="1"/>
    </w:pPr>
    <w:rPr>
      <w:rFonts w:ascii="Arial" w:hAnsi="Arial" w:cs="Arial"/>
      <w:b/>
      <w:bCs/>
      <w:i/>
      <w:iCs/>
      <w:sz w:val="28"/>
      <w:szCs w:val="28"/>
    </w:rPr>
  </w:style>
  <w:style w:type="paragraph" w:styleId="3">
    <w:name w:val="heading 3"/>
    <w:basedOn w:val="a"/>
    <w:next w:val="a"/>
    <w:qFormat/>
    <w:rsid w:val="00F33B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4DCB"/>
    <w:rPr>
      <w:color w:val="0000FF"/>
      <w:u w:val="single"/>
    </w:rPr>
  </w:style>
  <w:style w:type="paragraph" w:styleId="a4">
    <w:name w:val="Body Text Indent"/>
    <w:basedOn w:val="a"/>
    <w:rsid w:val="00104DCB"/>
    <w:pPr>
      <w:ind w:firstLine="720"/>
    </w:pPr>
    <w:rPr>
      <w:sz w:val="28"/>
    </w:rPr>
  </w:style>
  <w:style w:type="paragraph" w:styleId="a5">
    <w:name w:val="Title"/>
    <w:basedOn w:val="a"/>
    <w:link w:val="a6"/>
    <w:qFormat/>
    <w:rsid w:val="00104DCB"/>
    <w:pPr>
      <w:jc w:val="center"/>
    </w:pPr>
    <w:rPr>
      <w:b/>
      <w:sz w:val="28"/>
    </w:rPr>
  </w:style>
  <w:style w:type="paragraph" w:styleId="a7">
    <w:name w:val="Body Text"/>
    <w:basedOn w:val="a"/>
    <w:rsid w:val="00F33B84"/>
    <w:pPr>
      <w:spacing w:after="120"/>
    </w:pPr>
  </w:style>
  <w:style w:type="paragraph" w:styleId="20">
    <w:name w:val="Body Text 2"/>
    <w:basedOn w:val="a"/>
    <w:rsid w:val="00F33B84"/>
    <w:pPr>
      <w:spacing w:after="120" w:line="480" w:lineRule="auto"/>
    </w:pPr>
  </w:style>
  <w:style w:type="paragraph" w:customStyle="1" w:styleId="ConsPlusNormal">
    <w:name w:val="ConsPlusNormal"/>
    <w:rsid w:val="00F33B84"/>
    <w:pPr>
      <w:widowControl w:val="0"/>
      <w:autoSpaceDE w:val="0"/>
      <w:autoSpaceDN w:val="0"/>
      <w:adjustRightInd w:val="0"/>
      <w:ind w:firstLine="720"/>
    </w:pPr>
    <w:rPr>
      <w:rFonts w:ascii="Arial" w:hAnsi="Arial" w:cs="Arial"/>
      <w:sz w:val="26"/>
      <w:szCs w:val="26"/>
    </w:rPr>
  </w:style>
  <w:style w:type="paragraph" w:customStyle="1" w:styleId="dates">
    <w:name w:val="dates"/>
    <w:basedOn w:val="a"/>
    <w:rsid w:val="00A62AF0"/>
    <w:pPr>
      <w:spacing w:before="100" w:beforeAutospacing="1" w:after="100" w:afterAutospacing="1"/>
    </w:pPr>
    <w:rPr>
      <w:rFonts w:ascii="Verdana" w:hAnsi="Verdana"/>
      <w:b/>
      <w:bCs/>
      <w:color w:val="00923F"/>
      <w:sz w:val="24"/>
      <w:szCs w:val="24"/>
    </w:rPr>
  </w:style>
  <w:style w:type="paragraph" w:styleId="a8">
    <w:name w:val="Normal (Web)"/>
    <w:basedOn w:val="a"/>
    <w:uiPriority w:val="99"/>
    <w:rsid w:val="00A62AF0"/>
    <w:pPr>
      <w:spacing w:before="100" w:beforeAutospacing="1" w:after="100" w:afterAutospacing="1"/>
    </w:pPr>
    <w:rPr>
      <w:sz w:val="24"/>
      <w:szCs w:val="24"/>
    </w:rPr>
  </w:style>
  <w:style w:type="character" w:styleId="a9">
    <w:name w:val="Strong"/>
    <w:qFormat/>
    <w:rsid w:val="00A62AF0"/>
    <w:rPr>
      <w:b/>
      <w:bCs/>
    </w:rPr>
  </w:style>
  <w:style w:type="character" w:styleId="aa">
    <w:name w:val="Emphasis"/>
    <w:qFormat/>
    <w:rsid w:val="00A62AF0"/>
    <w:rPr>
      <w:i/>
      <w:iCs/>
    </w:rPr>
  </w:style>
  <w:style w:type="table" w:styleId="ab">
    <w:name w:val="Table Grid"/>
    <w:basedOn w:val="a1"/>
    <w:rsid w:val="0038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3043A"/>
    <w:rPr>
      <w:rFonts w:ascii="Tahoma" w:hAnsi="Tahoma" w:cs="Tahoma"/>
      <w:sz w:val="16"/>
      <w:szCs w:val="16"/>
    </w:rPr>
  </w:style>
  <w:style w:type="paragraph" w:styleId="ad">
    <w:name w:val="List Paragraph"/>
    <w:basedOn w:val="a"/>
    <w:uiPriority w:val="34"/>
    <w:qFormat/>
    <w:rsid w:val="00DC2179"/>
    <w:pPr>
      <w:spacing w:after="200" w:line="276" w:lineRule="auto"/>
      <w:ind w:left="720"/>
      <w:contextualSpacing/>
    </w:pPr>
    <w:rPr>
      <w:rFonts w:ascii="Calibri" w:hAnsi="Calibri"/>
      <w:sz w:val="22"/>
      <w:szCs w:val="22"/>
    </w:rPr>
  </w:style>
  <w:style w:type="character" w:customStyle="1" w:styleId="apple-style-span">
    <w:name w:val="apple-style-span"/>
    <w:basedOn w:val="a0"/>
    <w:rsid w:val="00A76B44"/>
  </w:style>
  <w:style w:type="paragraph" w:customStyle="1" w:styleId="10">
    <w:name w:val="Абзац списка1"/>
    <w:basedOn w:val="a"/>
    <w:rsid w:val="00570CF4"/>
    <w:pPr>
      <w:spacing w:after="200" w:line="276" w:lineRule="auto"/>
      <w:ind w:left="720"/>
    </w:pPr>
    <w:rPr>
      <w:rFonts w:ascii="Calibri" w:hAnsi="Calibri"/>
      <w:sz w:val="22"/>
      <w:szCs w:val="22"/>
      <w:lang w:eastAsia="en-US"/>
    </w:rPr>
  </w:style>
  <w:style w:type="paragraph" w:styleId="ae">
    <w:name w:val="header"/>
    <w:basedOn w:val="a"/>
    <w:link w:val="af"/>
    <w:unhideWhenUsed/>
    <w:rsid w:val="001106D9"/>
    <w:pPr>
      <w:tabs>
        <w:tab w:val="center" w:pos="4677"/>
        <w:tab w:val="right" w:pos="9355"/>
      </w:tabs>
    </w:pPr>
  </w:style>
  <w:style w:type="character" w:customStyle="1" w:styleId="af">
    <w:name w:val="Верхний колонтитул Знак"/>
    <w:basedOn w:val="a0"/>
    <w:link w:val="ae"/>
    <w:rsid w:val="001106D9"/>
  </w:style>
  <w:style w:type="paragraph" w:styleId="af0">
    <w:name w:val="footer"/>
    <w:basedOn w:val="a"/>
    <w:link w:val="af1"/>
    <w:unhideWhenUsed/>
    <w:rsid w:val="001106D9"/>
    <w:pPr>
      <w:tabs>
        <w:tab w:val="center" w:pos="4677"/>
        <w:tab w:val="right" w:pos="9355"/>
      </w:tabs>
    </w:pPr>
  </w:style>
  <w:style w:type="character" w:customStyle="1" w:styleId="af1">
    <w:name w:val="Нижний колонтитул Знак"/>
    <w:basedOn w:val="a0"/>
    <w:link w:val="af0"/>
    <w:rsid w:val="001106D9"/>
  </w:style>
  <w:style w:type="paragraph" w:customStyle="1" w:styleId="xl63">
    <w:name w:val="xl63"/>
    <w:basedOn w:val="a"/>
    <w:rsid w:val="00300866"/>
    <w:pPr>
      <w:pBdr>
        <w:left w:val="single" w:sz="4" w:space="0" w:color="000000"/>
      </w:pBdr>
      <w:suppressAutoHyphens/>
      <w:spacing w:before="100" w:after="100"/>
      <w:jc w:val="center"/>
    </w:pPr>
    <w:rPr>
      <w:rFonts w:eastAsia="Arial Unicode MS"/>
      <w:sz w:val="22"/>
      <w:szCs w:val="22"/>
      <w:lang w:val="de-DE" w:eastAsia="ar-SA"/>
    </w:rPr>
  </w:style>
  <w:style w:type="paragraph" w:styleId="af2">
    <w:name w:val="Closing"/>
    <w:basedOn w:val="a"/>
    <w:link w:val="af3"/>
    <w:unhideWhenUsed/>
    <w:rsid w:val="00300866"/>
    <w:pPr>
      <w:spacing w:after="1200"/>
    </w:pPr>
    <w:rPr>
      <w:sz w:val="24"/>
      <w:szCs w:val="24"/>
      <w:lang w:val="en-US" w:eastAsia="en-US"/>
    </w:rPr>
  </w:style>
  <w:style w:type="character" w:customStyle="1" w:styleId="af3">
    <w:name w:val="Прощание Знак"/>
    <w:basedOn w:val="a0"/>
    <w:link w:val="af2"/>
    <w:rsid w:val="00300866"/>
    <w:rPr>
      <w:sz w:val="24"/>
      <w:szCs w:val="24"/>
      <w:lang w:val="en-US" w:eastAsia="en-US"/>
    </w:rPr>
  </w:style>
  <w:style w:type="paragraph" w:customStyle="1" w:styleId="11">
    <w:name w:val="Прощание1"/>
    <w:basedOn w:val="a"/>
    <w:rsid w:val="00300866"/>
    <w:pPr>
      <w:suppressAutoHyphens/>
      <w:spacing w:after="1200"/>
    </w:pPr>
    <w:rPr>
      <w:sz w:val="24"/>
      <w:szCs w:val="24"/>
      <w:lang w:val="en-US" w:eastAsia="ar-SA"/>
    </w:rPr>
  </w:style>
  <w:style w:type="character" w:customStyle="1" w:styleId="a6">
    <w:name w:val="Название Знак"/>
    <w:link w:val="a5"/>
    <w:rsid w:val="00BC5AC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67399">
      <w:bodyDiv w:val="1"/>
      <w:marLeft w:val="0"/>
      <w:marRight w:val="0"/>
      <w:marTop w:val="0"/>
      <w:marBottom w:val="0"/>
      <w:divBdr>
        <w:top w:val="none" w:sz="0" w:space="0" w:color="auto"/>
        <w:left w:val="none" w:sz="0" w:space="0" w:color="auto"/>
        <w:bottom w:val="none" w:sz="0" w:space="0" w:color="auto"/>
        <w:right w:val="none" w:sz="0" w:space="0" w:color="auto"/>
      </w:divBdr>
    </w:div>
    <w:div w:id="390546087">
      <w:bodyDiv w:val="1"/>
      <w:marLeft w:val="0"/>
      <w:marRight w:val="0"/>
      <w:marTop w:val="0"/>
      <w:marBottom w:val="0"/>
      <w:divBdr>
        <w:top w:val="none" w:sz="0" w:space="0" w:color="auto"/>
        <w:left w:val="none" w:sz="0" w:space="0" w:color="auto"/>
        <w:bottom w:val="none" w:sz="0" w:space="0" w:color="auto"/>
        <w:right w:val="none" w:sz="0" w:space="0" w:color="auto"/>
      </w:divBdr>
    </w:div>
    <w:div w:id="404306148">
      <w:bodyDiv w:val="1"/>
      <w:marLeft w:val="0"/>
      <w:marRight w:val="0"/>
      <w:marTop w:val="0"/>
      <w:marBottom w:val="0"/>
      <w:divBdr>
        <w:top w:val="none" w:sz="0" w:space="0" w:color="auto"/>
        <w:left w:val="none" w:sz="0" w:space="0" w:color="auto"/>
        <w:bottom w:val="none" w:sz="0" w:space="0" w:color="auto"/>
        <w:right w:val="none" w:sz="0" w:space="0" w:color="auto"/>
      </w:divBdr>
    </w:div>
    <w:div w:id="576087591">
      <w:bodyDiv w:val="1"/>
      <w:marLeft w:val="0"/>
      <w:marRight w:val="0"/>
      <w:marTop w:val="0"/>
      <w:marBottom w:val="0"/>
      <w:divBdr>
        <w:top w:val="none" w:sz="0" w:space="0" w:color="auto"/>
        <w:left w:val="none" w:sz="0" w:space="0" w:color="auto"/>
        <w:bottom w:val="none" w:sz="0" w:space="0" w:color="auto"/>
        <w:right w:val="none" w:sz="0" w:space="0" w:color="auto"/>
      </w:divBdr>
      <w:divsChild>
        <w:div w:id="864027581">
          <w:marLeft w:val="0"/>
          <w:marRight w:val="0"/>
          <w:marTop w:val="0"/>
          <w:marBottom w:val="0"/>
          <w:divBdr>
            <w:top w:val="none" w:sz="0" w:space="0" w:color="auto"/>
            <w:left w:val="none" w:sz="0" w:space="0" w:color="auto"/>
            <w:bottom w:val="none" w:sz="0" w:space="0" w:color="auto"/>
            <w:right w:val="none" w:sz="0" w:space="0" w:color="auto"/>
          </w:divBdr>
        </w:div>
        <w:div w:id="1781992062">
          <w:marLeft w:val="0"/>
          <w:marRight w:val="0"/>
          <w:marTop w:val="0"/>
          <w:marBottom w:val="0"/>
          <w:divBdr>
            <w:top w:val="none" w:sz="0" w:space="0" w:color="auto"/>
            <w:left w:val="none" w:sz="0" w:space="0" w:color="auto"/>
            <w:bottom w:val="none" w:sz="0" w:space="0" w:color="auto"/>
            <w:right w:val="none" w:sz="0" w:space="0" w:color="auto"/>
          </w:divBdr>
        </w:div>
        <w:div w:id="455219179">
          <w:marLeft w:val="0"/>
          <w:marRight w:val="0"/>
          <w:marTop w:val="0"/>
          <w:marBottom w:val="0"/>
          <w:divBdr>
            <w:top w:val="none" w:sz="0" w:space="0" w:color="auto"/>
            <w:left w:val="none" w:sz="0" w:space="0" w:color="auto"/>
            <w:bottom w:val="none" w:sz="0" w:space="0" w:color="auto"/>
            <w:right w:val="none" w:sz="0" w:space="0" w:color="auto"/>
          </w:divBdr>
        </w:div>
        <w:div w:id="414791646">
          <w:marLeft w:val="0"/>
          <w:marRight w:val="0"/>
          <w:marTop w:val="0"/>
          <w:marBottom w:val="0"/>
          <w:divBdr>
            <w:top w:val="none" w:sz="0" w:space="0" w:color="auto"/>
            <w:left w:val="none" w:sz="0" w:space="0" w:color="auto"/>
            <w:bottom w:val="none" w:sz="0" w:space="0" w:color="auto"/>
            <w:right w:val="none" w:sz="0" w:space="0" w:color="auto"/>
          </w:divBdr>
        </w:div>
        <w:div w:id="1650327598">
          <w:marLeft w:val="0"/>
          <w:marRight w:val="0"/>
          <w:marTop w:val="0"/>
          <w:marBottom w:val="0"/>
          <w:divBdr>
            <w:top w:val="none" w:sz="0" w:space="0" w:color="auto"/>
            <w:left w:val="none" w:sz="0" w:space="0" w:color="auto"/>
            <w:bottom w:val="none" w:sz="0" w:space="0" w:color="auto"/>
            <w:right w:val="none" w:sz="0" w:space="0" w:color="auto"/>
          </w:divBdr>
        </w:div>
        <w:div w:id="1725442909">
          <w:marLeft w:val="0"/>
          <w:marRight w:val="0"/>
          <w:marTop w:val="0"/>
          <w:marBottom w:val="0"/>
          <w:divBdr>
            <w:top w:val="none" w:sz="0" w:space="0" w:color="auto"/>
            <w:left w:val="none" w:sz="0" w:space="0" w:color="auto"/>
            <w:bottom w:val="none" w:sz="0" w:space="0" w:color="auto"/>
            <w:right w:val="none" w:sz="0" w:space="0" w:color="auto"/>
          </w:divBdr>
        </w:div>
        <w:div w:id="781850791">
          <w:marLeft w:val="0"/>
          <w:marRight w:val="0"/>
          <w:marTop w:val="0"/>
          <w:marBottom w:val="0"/>
          <w:divBdr>
            <w:top w:val="none" w:sz="0" w:space="0" w:color="auto"/>
            <w:left w:val="none" w:sz="0" w:space="0" w:color="auto"/>
            <w:bottom w:val="none" w:sz="0" w:space="0" w:color="auto"/>
            <w:right w:val="none" w:sz="0" w:space="0" w:color="auto"/>
          </w:divBdr>
        </w:div>
        <w:div w:id="1070537201">
          <w:marLeft w:val="0"/>
          <w:marRight w:val="0"/>
          <w:marTop w:val="0"/>
          <w:marBottom w:val="0"/>
          <w:divBdr>
            <w:top w:val="none" w:sz="0" w:space="0" w:color="auto"/>
            <w:left w:val="none" w:sz="0" w:space="0" w:color="auto"/>
            <w:bottom w:val="none" w:sz="0" w:space="0" w:color="auto"/>
            <w:right w:val="none" w:sz="0" w:space="0" w:color="auto"/>
          </w:divBdr>
        </w:div>
      </w:divsChild>
    </w:div>
    <w:div w:id="645009656">
      <w:bodyDiv w:val="1"/>
      <w:marLeft w:val="0"/>
      <w:marRight w:val="0"/>
      <w:marTop w:val="0"/>
      <w:marBottom w:val="0"/>
      <w:divBdr>
        <w:top w:val="none" w:sz="0" w:space="0" w:color="auto"/>
        <w:left w:val="none" w:sz="0" w:space="0" w:color="auto"/>
        <w:bottom w:val="none" w:sz="0" w:space="0" w:color="auto"/>
        <w:right w:val="none" w:sz="0" w:space="0" w:color="auto"/>
      </w:divBdr>
    </w:div>
    <w:div w:id="685983797">
      <w:bodyDiv w:val="1"/>
      <w:marLeft w:val="0"/>
      <w:marRight w:val="0"/>
      <w:marTop w:val="0"/>
      <w:marBottom w:val="0"/>
      <w:divBdr>
        <w:top w:val="none" w:sz="0" w:space="0" w:color="auto"/>
        <w:left w:val="none" w:sz="0" w:space="0" w:color="auto"/>
        <w:bottom w:val="none" w:sz="0" w:space="0" w:color="auto"/>
        <w:right w:val="none" w:sz="0" w:space="0" w:color="auto"/>
      </w:divBdr>
    </w:div>
    <w:div w:id="687683736">
      <w:bodyDiv w:val="1"/>
      <w:marLeft w:val="0"/>
      <w:marRight w:val="0"/>
      <w:marTop w:val="0"/>
      <w:marBottom w:val="0"/>
      <w:divBdr>
        <w:top w:val="none" w:sz="0" w:space="0" w:color="auto"/>
        <w:left w:val="none" w:sz="0" w:space="0" w:color="auto"/>
        <w:bottom w:val="none" w:sz="0" w:space="0" w:color="auto"/>
        <w:right w:val="none" w:sz="0" w:space="0" w:color="auto"/>
      </w:divBdr>
    </w:div>
    <w:div w:id="688216636">
      <w:bodyDiv w:val="1"/>
      <w:marLeft w:val="0"/>
      <w:marRight w:val="0"/>
      <w:marTop w:val="0"/>
      <w:marBottom w:val="0"/>
      <w:divBdr>
        <w:top w:val="none" w:sz="0" w:space="0" w:color="auto"/>
        <w:left w:val="none" w:sz="0" w:space="0" w:color="auto"/>
        <w:bottom w:val="none" w:sz="0" w:space="0" w:color="auto"/>
        <w:right w:val="none" w:sz="0" w:space="0" w:color="auto"/>
      </w:divBdr>
    </w:div>
    <w:div w:id="769619307">
      <w:bodyDiv w:val="1"/>
      <w:marLeft w:val="0"/>
      <w:marRight w:val="0"/>
      <w:marTop w:val="0"/>
      <w:marBottom w:val="0"/>
      <w:divBdr>
        <w:top w:val="none" w:sz="0" w:space="0" w:color="auto"/>
        <w:left w:val="none" w:sz="0" w:space="0" w:color="auto"/>
        <w:bottom w:val="none" w:sz="0" w:space="0" w:color="auto"/>
        <w:right w:val="none" w:sz="0" w:space="0" w:color="auto"/>
      </w:divBdr>
    </w:div>
    <w:div w:id="889801110">
      <w:bodyDiv w:val="1"/>
      <w:marLeft w:val="0"/>
      <w:marRight w:val="0"/>
      <w:marTop w:val="0"/>
      <w:marBottom w:val="0"/>
      <w:divBdr>
        <w:top w:val="none" w:sz="0" w:space="0" w:color="auto"/>
        <w:left w:val="none" w:sz="0" w:space="0" w:color="auto"/>
        <w:bottom w:val="none" w:sz="0" w:space="0" w:color="auto"/>
        <w:right w:val="none" w:sz="0" w:space="0" w:color="auto"/>
      </w:divBdr>
    </w:div>
    <w:div w:id="1576864313">
      <w:bodyDiv w:val="1"/>
      <w:marLeft w:val="0"/>
      <w:marRight w:val="0"/>
      <w:marTop w:val="0"/>
      <w:marBottom w:val="0"/>
      <w:divBdr>
        <w:top w:val="none" w:sz="0" w:space="0" w:color="auto"/>
        <w:left w:val="none" w:sz="0" w:space="0" w:color="auto"/>
        <w:bottom w:val="none" w:sz="0" w:space="0" w:color="auto"/>
        <w:right w:val="none" w:sz="0" w:space="0" w:color="auto"/>
      </w:divBdr>
    </w:div>
    <w:div w:id="1783646841">
      <w:bodyDiv w:val="1"/>
      <w:marLeft w:val="0"/>
      <w:marRight w:val="0"/>
      <w:marTop w:val="0"/>
      <w:marBottom w:val="0"/>
      <w:divBdr>
        <w:top w:val="none" w:sz="0" w:space="0" w:color="auto"/>
        <w:left w:val="none" w:sz="0" w:space="0" w:color="auto"/>
        <w:bottom w:val="none" w:sz="0" w:space="0" w:color="auto"/>
        <w:right w:val="none" w:sz="0" w:space="0" w:color="auto"/>
      </w:divBdr>
    </w:div>
    <w:div w:id="1969773780">
      <w:bodyDiv w:val="1"/>
      <w:marLeft w:val="0"/>
      <w:marRight w:val="0"/>
      <w:marTop w:val="0"/>
      <w:marBottom w:val="0"/>
      <w:divBdr>
        <w:top w:val="none" w:sz="0" w:space="0" w:color="auto"/>
        <w:left w:val="none" w:sz="0" w:space="0" w:color="auto"/>
        <w:bottom w:val="none" w:sz="0" w:space="0" w:color="auto"/>
        <w:right w:val="none" w:sz="0" w:space="0" w:color="auto"/>
      </w:divBdr>
    </w:div>
    <w:div w:id="19820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ufa.r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tkufa@mail.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moblokuf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bufa.ru" TargetMode="External"/><Relationship Id="rId4" Type="http://schemas.openxmlformats.org/officeDocument/2006/relationships/webSettings" Target="webSettings.xml"/><Relationship Id="rId9" Type="http://schemas.openxmlformats.org/officeDocument/2006/relationships/hyperlink" Target="http://www.zilmetuf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Общество ограниченной ответственности</vt:lpstr>
    </vt:vector>
  </TitlesOfParts>
  <Company>STK</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ограниченной ответственности</dc:title>
  <dc:creator>STK</dc:creator>
  <cp:lastModifiedBy>Алексей Антонов</cp:lastModifiedBy>
  <cp:revision>4</cp:revision>
  <cp:lastPrinted>2018-03-02T10:06:00Z</cp:lastPrinted>
  <dcterms:created xsi:type="dcterms:W3CDTF">2018-03-02T10:07:00Z</dcterms:created>
  <dcterms:modified xsi:type="dcterms:W3CDTF">2018-07-09T08:01:00Z</dcterms:modified>
</cp:coreProperties>
</file>